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5E" w:rsidRDefault="001B315E" w:rsidP="001B31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B315E" w:rsidRDefault="001B315E" w:rsidP="001B31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907" w:rsidRPr="00FE5830" w:rsidRDefault="00685907" w:rsidP="0068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FE5830">
        <w:rPr>
          <w:rFonts w:ascii="Times New Roman" w:hAnsi="Times New Roman" w:cs="Times New Roman"/>
          <w:b/>
          <w:sz w:val="28"/>
          <w:szCs w:val="28"/>
        </w:rPr>
        <w:t>»</w:t>
      </w:r>
    </w:p>
    <w:p w:rsidR="00685907" w:rsidRPr="00FE5830" w:rsidRDefault="00685907" w:rsidP="0068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685907" w:rsidRPr="00FE5830" w:rsidRDefault="00685907" w:rsidP="0068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685907" w:rsidRPr="00FE5830" w:rsidRDefault="00685907" w:rsidP="0068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685907" w:rsidRPr="00FE5830" w:rsidRDefault="00685907" w:rsidP="0068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07" w:rsidRPr="00FE5830" w:rsidRDefault="00685907" w:rsidP="0068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06BC" w:rsidRPr="00A306BC" w:rsidRDefault="00A306BC" w:rsidP="00A30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06BC" w:rsidRPr="001B315E" w:rsidRDefault="001B315E" w:rsidP="001B31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«__»________20__г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685907" w:rsidRPr="006859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306BC" w:rsidRPr="0068590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A306BC" w:rsidRPr="00685907" w:rsidRDefault="00A306BC" w:rsidP="00A306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90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Pr="00685907">
        <w:rPr>
          <w:rFonts w:ascii="Times New Roman" w:hAnsi="Times New Roman" w:cs="Times New Roman"/>
          <w:b/>
          <w:bCs/>
          <w:sz w:val="28"/>
          <w:szCs w:val="28"/>
        </w:rPr>
        <w:t>.Ю</w:t>
      </w:r>
      <w:proofErr w:type="gramEnd"/>
      <w:r w:rsidRPr="00685907">
        <w:rPr>
          <w:rFonts w:ascii="Times New Roman" w:hAnsi="Times New Roman" w:cs="Times New Roman"/>
          <w:b/>
          <w:bCs/>
          <w:sz w:val="28"/>
          <w:szCs w:val="28"/>
        </w:rPr>
        <w:t>билейный</w:t>
      </w:r>
    </w:p>
    <w:p w:rsidR="00A306BC" w:rsidRPr="00685907" w:rsidRDefault="00A306BC" w:rsidP="00A30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6BC" w:rsidRPr="00685907" w:rsidRDefault="00685907" w:rsidP="00A306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принятии </w:t>
      </w:r>
      <w:r w:rsidR="00A306BC" w:rsidRPr="0068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 о с</w:t>
      </w:r>
      <w:r w:rsidR="00A306BC" w:rsidRPr="00685907">
        <w:rPr>
          <w:rFonts w:ascii="Times New Roman" w:hAnsi="Times New Roman" w:cs="Times New Roman"/>
          <w:b/>
          <w:bCs/>
          <w:sz w:val="28"/>
          <w:szCs w:val="28"/>
        </w:rPr>
        <w:t>оставе, порядке подготовки и утверждения местных нормативов градостроительного проектирования</w:t>
      </w:r>
      <w:r w:rsidR="002204ED" w:rsidRPr="006859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06BC" w:rsidRPr="00685907" w:rsidRDefault="00A306BC" w:rsidP="00A306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  <w:t>На основании протеста Краснокаменской межрайонной прокуратуры, на основании Градостроительного Кодекса РФ, Устава сельского поселения «Юбилейнинское», Совет сельского поселения «Юбилейнинское»</w:t>
      </w:r>
    </w:p>
    <w:p w:rsidR="00A306BC" w:rsidRPr="00685907" w:rsidRDefault="00A306BC" w:rsidP="00A306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A306BC" w:rsidRPr="00685907" w:rsidRDefault="00A306BC" w:rsidP="00A306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356"/>
      </w:tblGrid>
      <w:tr w:rsidR="00A306BC" w:rsidRPr="00685907" w:rsidTr="00A306BC">
        <w:tc>
          <w:tcPr>
            <w:tcW w:w="9356" w:type="dxa"/>
          </w:tcPr>
          <w:p w:rsidR="00A306BC" w:rsidRDefault="00A306BC" w:rsidP="0068590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68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04ED" w:rsidRPr="0068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Принять </w:t>
            </w:r>
            <w:r w:rsidRPr="0068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</w:t>
            </w:r>
            <w:r w:rsidR="0068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8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составе, порядке подготовки и утверждения местных нормативов градостроительного проектирования на территории сельского поселения «Юбилейнинское</w:t>
            </w:r>
            <w:r w:rsidR="0068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685907" w:rsidRPr="00685907" w:rsidRDefault="00685907" w:rsidP="0068590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5907" w:rsidRDefault="00A306BC" w:rsidP="006859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5907">
        <w:rPr>
          <w:rFonts w:ascii="Times New Roman" w:hAnsi="Times New Roman" w:cs="Times New Roman"/>
          <w:sz w:val="28"/>
          <w:szCs w:val="28"/>
        </w:rPr>
        <w:t xml:space="preserve">. </w:t>
      </w:r>
      <w:r w:rsidR="00685907" w:rsidRPr="00E30898">
        <w:rPr>
          <w:rFonts w:ascii="Times New Roman" w:hAnsi="Times New Roman" w:cs="Times New Roman"/>
          <w:color w:val="000000"/>
          <w:sz w:val="28"/>
          <w:szCs w:val="28"/>
        </w:rPr>
        <w:t>Настоящее решение опубликовать (обнародовать) в соответствии с Уставом сель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>ского поселения.</w:t>
      </w:r>
    </w:p>
    <w:p w:rsidR="00685907" w:rsidRDefault="00685907" w:rsidP="006859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6BC" w:rsidRPr="00685907" w:rsidRDefault="00A306BC" w:rsidP="006859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907">
        <w:rPr>
          <w:rFonts w:ascii="Times New Roman" w:hAnsi="Times New Roman" w:cs="Times New Roman"/>
          <w:sz w:val="28"/>
          <w:szCs w:val="28"/>
        </w:rPr>
        <w:t>3. Решение вступает в силу со дня его обнародования.</w:t>
      </w:r>
    </w:p>
    <w:p w:rsidR="00A306BC" w:rsidRPr="00685907" w:rsidRDefault="00A306BC" w:rsidP="00A306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68590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«Юбилейнинское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</w:p>
    <w:p w:rsidR="00A306BC" w:rsidRPr="00685907" w:rsidRDefault="00A306BC" w:rsidP="00A30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85907" w:rsidRDefault="00685907" w:rsidP="00A306BC">
      <w:pPr>
        <w:shd w:val="clear" w:color="auto" w:fill="FFFFFF"/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A306BC" w:rsidRPr="00685907" w:rsidRDefault="00A306BC" w:rsidP="00A306BC">
      <w:pPr>
        <w:shd w:val="clear" w:color="auto" w:fill="FFFFFF"/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«Юбилейнинское»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306BC" w:rsidRPr="00685907" w:rsidRDefault="00A306BC" w:rsidP="00A306BC">
      <w:pPr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proofErr w:type="spellStart"/>
      <w:r w:rsidR="001B315E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15E">
        <w:rPr>
          <w:rFonts w:ascii="Times New Roman" w:hAnsi="Times New Roman" w:cs="Times New Roman"/>
          <w:color w:val="000000"/>
          <w:sz w:val="28"/>
          <w:szCs w:val="28"/>
        </w:rPr>
        <w:t>_______________г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A306BC" w:rsidRPr="00685907" w:rsidRDefault="00A306BC" w:rsidP="00A30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06BC" w:rsidRPr="00685907" w:rsidRDefault="00A306BC" w:rsidP="00A306BC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306BC" w:rsidRPr="00685907" w:rsidRDefault="00A306BC" w:rsidP="00A30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составе, порядке подготовки и утверждения местных нормативов градостроительного проектирования на территории сельского поселения «Юбилейнинское».</w:t>
      </w:r>
    </w:p>
    <w:p w:rsidR="00A306BC" w:rsidRPr="00685907" w:rsidRDefault="00A306BC" w:rsidP="00A30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06BC" w:rsidRPr="00685907" w:rsidRDefault="00A306BC" w:rsidP="00A30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306BC" w:rsidRPr="00685907" w:rsidRDefault="00A306BC" w:rsidP="00A306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685907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составе, порядке подготовки и утверждения местных нормативов градостроительного проектирования  (дал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 xml:space="preserve">ее – Положение) на территории 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«Юбилейнинское» муниципального района «Город Краснокаменск и Краснокаменский район» Забайкальского края (далее сельского поселения «Юбилейнинское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 xml:space="preserve">») 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разработано в соответствии с Градостроительным кодексом Российской Федерации, законом Забайкальского края от 29.12.2008 г. №113-ЗЗК «О градостроительной деятельности в Забайкальском крае».</w:t>
      </w:r>
      <w:proofErr w:type="gramEnd"/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определяет состав, порядок подготовки и утверждения местных нормативов градостроительного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 xml:space="preserve"> проектирования на территории сельского поселения 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«Юбилейнинское» (далее - местные нормативы градостроительного проектирования).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1.3. Местные нормативы градостроительного проектирования разрабатываются в целях обеспечения благоприятных условий жизнедеятельности населения сельского поселения «Юбилейнинское», предупреждения и устранения вредного воздействия на население факторов среды обитания и принимаются в форме нормативных правовых актов.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1.4. Местные нормативы градостроительного проектирования разрабатываются с учетом территориальных, природно-климатических, геологических, социально-экономических и иных особенностей сельского поселения «Юбилейнинское».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Состав местных нормативов градостроительного проектирования. </w:t>
      </w:r>
    </w:p>
    <w:p w:rsidR="00A306BC" w:rsidRPr="00685907" w:rsidRDefault="00A306BC" w:rsidP="00A306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2.1. М</w:t>
      </w:r>
      <w:r w:rsidRPr="00685907">
        <w:rPr>
          <w:rFonts w:ascii="Times New Roman" w:hAnsi="Times New Roman" w:cs="Times New Roman"/>
          <w:sz w:val="28"/>
          <w:szCs w:val="28"/>
        </w:rPr>
        <w:t xml:space="preserve">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 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2.2. При невозможности установления точных минимальных расчетных показателей, эти показатели могут регламентироваться путем установления соответствующих описательных положений.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2.3. В местных нормативах градостроительного проектирования содержатся следующие группы минимальных расчетных </w:t>
      </w:r>
      <w:proofErr w:type="gramStart"/>
      <w:r w:rsidRPr="00685907">
        <w:rPr>
          <w:rFonts w:ascii="Times New Roman" w:hAnsi="Times New Roman" w:cs="Times New Roman"/>
          <w:color w:val="000000"/>
          <w:sz w:val="28"/>
          <w:szCs w:val="28"/>
        </w:rPr>
        <w:t>показателей обеспечения благоприятных условий жизнедеятельности человека</w:t>
      </w:r>
      <w:proofErr w:type="gramEnd"/>
      <w:r w:rsidRPr="0068590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06BC" w:rsidRPr="00685907" w:rsidRDefault="00A306BC" w:rsidP="00A306BC">
      <w:pPr>
        <w:spacing w:after="0"/>
        <w:ind w:firstLine="3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2.3.1. Общие расчетные показатели планировочной организации территорий сельского поселения «Юбилейнинское»: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- нормативы определения потребности в селитебных 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территориях (в гектарах на сто 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человек);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распределения функциональных зон с отображением параметров планируемого развития (в процентах и в гектарах);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плотности населения территорий (человек на 1 гектар территории).</w:t>
      </w:r>
    </w:p>
    <w:p w:rsidR="00A306BC" w:rsidRPr="00685907" w:rsidRDefault="00A306BC" w:rsidP="00A306BC">
      <w:pPr>
        <w:spacing w:after="0"/>
        <w:ind w:firstLine="3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2.3.2. Расчетные показатели в сфере жилищного строительства: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жилищной обеспеченности (в квадратных метрах на 1 человека);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общей площади территорий для размещения объектов жилой застройки (в гектарах);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распределения зон жилой застройки по видам жилой застройки (в процентах);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размера придомовых земельных участков (в квадратных метрах);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распределения жилищного строительства по типам жилья (в процентах);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распределения жилищного строительства по этажности (в процентах);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соотношения общей площади жилых помещений и площади жилых помещений специализированного жилищного фонда и жилищного фонда социального найма (в процентах).</w:t>
      </w:r>
    </w:p>
    <w:p w:rsidR="00A306BC" w:rsidRPr="00685907" w:rsidRDefault="00A306BC" w:rsidP="00A306BC">
      <w:pPr>
        <w:spacing w:after="0"/>
        <w:ind w:firstLine="3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2.3.3. Расчетные показатели в сфере социального и коммунально-бытового обеспечения: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нормативы площади территорий для размещения объектов социального и коммунально-бытового назначения (в гектарах);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дошкольного, начального, общего и среднего образования (мест на сто человек);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здравоохранения (мест на сто человек, коек на сто человек, посещений в смену);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торговли и питания (квадратных метров торговой площади на сто человек, мест на сто человек);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культуры (мест на сто человек);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культовыми зданиями (мест на сто человек);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коммунально-бытового назначения (мест на сто человек).</w:t>
      </w:r>
    </w:p>
    <w:p w:rsidR="00A306BC" w:rsidRPr="00685907" w:rsidRDefault="00A306BC" w:rsidP="00A306BC">
      <w:pPr>
        <w:spacing w:after="0"/>
        <w:ind w:firstLine="3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2.3.4. Расчетные показатели в сфере обеспечения объектами рекреационного назначения: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рекреационного назначения (в метрах квадратных на человека);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площади территорий для размещения объектов рекреационного назначения (в гектарах);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площади озеленений территорий объектов рекреационного назначения (в процентах);</w:t>
      </w:r>
    </w:p>
    <w:p w:rsidR="00A306BC" w:rsidRPr="00685907" w:rsidRDefault="00A306BC" w:rsidP="00A306BC">
      <w:pPr>
        <w:spacing w:after="0"/>
        <w:ind w:firstLine="3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2.3.5. Расчетные показатели в сфере транспортного обслуживания: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плотность сети линий общественного пассажирского транспорта (в километрах на квадратный километр территории);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дальность пешеходных подходов до ближайших остановок общественного пассажирского транспорта (в метрах);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расстояния между остановочными пунктами на линиях общественного пассажирского транспорта (в метрах);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транспортной и пешеходной доступности до объектов социального назначения (в метрах);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озеленения площади санитарно-защитных зон, отделяющих автомобильные дороги от объектов жилой застройки (в процентах);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для хранения и обслуживания транспортных средств (</w:t>
      </w:r>
      <w:proofErr w:type="spellStart"/>
      <w:r w:rsidRPr="00685907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 на сто человек);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уровня автомобилизации (количество транспортных средств на сто человек).</w:t>
      </w:r>
    </w:p>
    <w:p w:rsidR="00A306BC" w:rsidRPr="00685907" w:rsidRDefault="00A306BC" w:rsidP="00A306BC">
      <w:pPr>
        <w:spacing w:after="0"/>
        <w:ind w:firstLine="3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2.3.6. Расчетные показатели в сфере инженерного оборудования: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водоснабжения и водоотведения (в кубометрах на 1 человека в год);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нормативы обеспеченности объектами теплоснабжения (в килокалориях на отопление 1 квадратного метра в год);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электроснабжения (в киловатт-часах на 1 человека в год);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обеспеченности объектами санитарной очистки (в килограммах бытовых отходов на 1 человека в год).</w:t>
      </w:r>
    </w:p>
    <w:p w:rsidR="00A306BC" w:rsidRPr="00685907" w:rsidRDefault="00A306BC" w:rsidP="00A306BC">
      <w:pPr>
        <w:spacing w:after="0"/>
        <w:ind w:firstLine="3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2.3.7. Расчетные показатели в сфере инженерной подготовки и защиты территорий: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по отводу поверхностных вод (в километрах дождевой канализации и открытых водоотводящих устройств на один гектар территории);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нормативы по защите территорий от затопления и подтопления (в метрах превышения бровки подсыпанной территории относительно уровня расчетного горизонта высоких вод).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2.4. Местные нормативы градостроительного проектирования могут содержать иные минимальные расчетные показатели, обеспечивающие безопасные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2.5. Местные нормативы градостроительного проектирования должны предусматривать следующие разделы: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"общие положения", содержащий анализ существующей нормативно-правовой базы по данному вопросу, информацию об использованных при разработке документа нормативных правовых актах, цели и задачи, которые решаются разработкой нормативов;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"область применения", содержащая информацию о сфере действия нормативов;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"термины и определения", содержащие расшифровку основных терминов и определений, которые используются в нормативах;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раздел (или разделы), содержащий непосредственно информацию о местных нормативах градостроительного проектирования;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прилагаемые таблицы, схемы, расчетные показатели и формулы;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- иные разделы.</w:t>
      </w:r>
    </w:p>
    <w:p w:rsidR="00A306BC" w:rsidRPr="00685907" w:rsidRDefault="00A306BC" w:rsidP="00A306BC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подготовки и утверждения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06BC" w:rsidRPr="00685907" w:rsidRDefault="00A306BC" w:rsidP="00A306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3.1. Решение о подготовке местных нормативов градостроительного проектирования принимается постановлением Главы сельского поселения «Юбилейнинское».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Разработка местных нормативов градостроительного проектирования осуществляется специализированной организацией в соответствии с техническим заданием, которое подготавливается уполномоченным органом в о</w:t>
      </w:r>
      <w:r w:rsidR="00685907">
        <w:rPr>
          <w:rFonts w:ascii="Times New Roman" w:hAnsi="Times New Roman" w:cs="Times New Roman"/>
          <w:color w:val="000000"/>
          <w:sz w:val="28"/>
          <w:szCs w:val="28"/>
        </w:rPr>
        <w:t xml:space="preserve">бласти 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градостроительной деятельности муниципального района «Город Краснокаменск и Краснокаменский район» Забайкальского края  и  утверждается Главой сельского поселения «Юбилейнинское».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3.3. Размещение заказа на разработку местных нормативов градостроительного проектирования осуществляется в соответствии с требованиями действующего законодательства Российской Федерации.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3.4. Решение об утверждении местных нормативов градостроительного проект</w:t>
      </w:r>
      <w:r w:rsidR="0042130D">
        <w:rPr>
          <w:rFonts w:ascii="Times New Roman" w:hAnsi="Times New Roman" w:cs="Times New Roman"/>
          <w:color w:val="000000"/>
          <w:sz w:val="28"/>
          <w:szCs w:val="28"/>
        </w:rPr>
        <w:t xml:space="preserve">ирования принимается Советом 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«Юбилейнинское».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3.5. Утвержденные местные нормативы градостроительного проектирования подлежат обязательному опубликованию в порядке, установленном для официального опубликования муниципальных правовых актов, иной официальной информации. 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3.6. Изменения в местные нормативы градостроительного проектирования вносятся в порядке, установленном настоящим Положением для их принятия.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Заключительные положения</w:t>
      </w: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06BC" w:rsidRPr="00685907" w:rsidRDefault="00A306BC" w:rsidP="00A306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4.1. 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сельского поселения «Юбилейнинское».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4.2.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расчётные показатели обеспечения благоприятных условий жизнедеятельности человека, содержащихся в региональных  нормативах градостроительного проектирования.</w:t>
      </w:r>
    </w:p>
    <w:p w:rsidR="00A306BC" w:rsidRPr="00685907" w:rsidRDefault="00A306BC" w:rsidP="00A306B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>4.3. Местные нормативы градостроительного проектирования подготавливаются с учетом технических регламентов безопасности в области территориального планирования и планировки территорий и не должны противоречить указанным техническим регламентам безопасности.</w:t>
      </w:r>
    </w:p>
    <w:p w:rsidR="005665AA" w:rsidRPr="0042130D" w:rsidRDefault="00A306BC" w:rsidP="0042130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907">
        <w:rPr>
          <w:rFonts w:ascii="Times New Roman" w:hAnsi="Times New Roman" w:cs="Times New Roman"/>
          <w:color w:val="000000"/>
          <w:sz w:val="28"/>
          <w:szCs w:val="28"/>
        </w:rPr>
        <w:t xml:space="preserve">4.4. Не допускается регламентировать местными нормативами градостроительного проектирования положения о безопасности, определяемые законодательством о техническом регулировании,  содержащиеся в технических регламентах. </w:t>
      </w:r>
    </w:p>
    <w:sectPr w:rsidR="005665AA" w:rsidRPr="0042130D" w:rsidSect="0054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6BC"/>
    <w:rsid w:val="001B315E"/>
    <w:rsid w:val="002204ED"/>
    <w:rsid w:val="0042130D"/>
    <w:rsid w:val="005463BD"/>
    <w:rsid w:val="005665AA"/>
    <w:rsid w:val="005C5EA2"/>
    <w:rsid w:val="00685907"/>
    <w:rsid w:val="00A306BC"/>
    <w:rsid w:val="00AD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6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стёпа</cp:lastModifiedBy>
  <cp:revision>8</cp:revision>
  <cp:lastPrinted>2015-03-05T06:23:00Z</cp:lastPrinted>
  <dcterms:created xsi:type="dcterms:W3CDTF">2015-01-19T01:32:00Z</dcterms:created>
  <dcterms:modified xsi:type="dcterms:W3CDTF">2015-09-27T11:45:00Z</dcterms:modified>
</cp:coreProperties>
</file>